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369" w:rsidRDefault="002A2369" w:rsidP="00E02FE5">
      <w:pPr>
        <w:jc w:val="both"/>
        <w:rPr>
          <w:b/>
        </w:rPr>
      </w:pPr>
      <w:r w:rsidRPr="008A7E95">
        <w:rPr>
          <w:b/>
        </w:rPr>
        <w:t xml:space="preserve">Temat: „Ocena wpływu budowy i </w:t>
      </w:r>
      <w:r>
        <w:rPr>
          <w:b/>
        </w:rPr>
        <w:t xml:space="preserve">funkcjonowania terminala LNG w </w:t>
      </w:r>
      <w:r w:rsidRPr="008A7E95">
        <w:rPr>
          <w:b/>
        </w:rPr>
        <w:t xml:space="preserve"> Świnoujściu na</w:t>
      </w:r>
      <w:r>
        <w:rPr>
          <w:b/>
        </w:rPr>
        <w:t xml:space="preserve"> </w:t>
      </w:r>
      <w:r w:rsidRPr="008A7E95">
        <w:rPr>
          <w:b/>
        </w:rPr>
        <w:t>życie biologiczne i efektywność rybacką w przyległych akwenach.”</w:t>
      </w:r>
    </w:p>
    <w:p w:rsidR="002A2369" w:rsidRDefault="002A2369" w:rsidP="00E02FE5">
      <w:pPr>
        <w:jc w:val="both"/>
        <w:rPr>
          <w:b/>
        </w:rPr>
      </w:pPr>
      <w:r>
        <w:rPr>
          <w:b/>
        </w:rPr>
        <w:t>Etap I. „Rejestr miejsc połowowych przed i w trakcie budowy terminala , jednostek rybackich eksploatowanych w 2011 stacjonujących w porcie Świnoujście, przystani Karsibór, Ognica i Międzyzdroje.”</w:t>
      </w:r>
    </w:p>
    <w:p w:rsidR="002A2369" w:rsidRDefault="002A2369" w:rsidP="00E02FE5">
      <w:pPr>
        <w:jc w:val="both"/>
        <w:rPr>
          <w:sz w:val="18"/>
          <w:szCs w:val="18"/>
        </w:rPr>
      </w:pPr>
      <w:r>
        <w:rPr>
          <w:b/>
        </w:rPr>
        <w:t>Część  informacyjno-opisowa:</w:t>
      </w:r>
    </w:p>
    <w:p w:rsidR="002A2369" w:rsidRPr="00F23FFD" w:rsidRDefault="002A2369" w:rsidP="00E02FE5">
      <w:pPr>
        <w:jc w:val="both"/>
      </w:pPr>
      <w:r w:rsidRPr="00F23FFD">
        <w:t>Akty prawne określające zasady uprawiania rybołówstwa  na wodach Zalewu Szczecińskiego i Zatoce Pomorskiej</w:t>
      </w:r>
      <w:r>
        <w:t>:</w:t>
      </w:r>
    </w:p>
    <w:p w:rsidR="002A2369" w:rsidRPr="00F23FFD" w:rsidRDefault="002A2369" w:rsidP="00E02FE5">
      <w:pPr>
        <w:numPr>
          <w:ilvl w:val="0"/>
          <w:numId w:val="9"/>
        </w:numPr>
        <w:jc w:val="both"/>
      </w:pPr>
      <w:r w:rsidRPr="00F23FFD">
        <w:t>Ustawa z dnia 19 lutego 2004 r o rybołówstwie(Dz.U. Nr 62 ,poz.574 zm. 2005r  N</w:t>
      </w:r>
      <w:r>
        <w:t>r 96 ,poz.</w:t>
      </w:r>
      <w:r w:rsidRPr="00F23FFD">
        <w:t xml:space="preserve"> 807),</w:t>
      </w:r>
    </w:p>
    <w:p w:rsidR="002A2369" w:rsidRDefault="002A2369" w:rsidP="00E02FE5">
      <w:pPr>
        <w:numPr>
          <w:ilvl w:val="0"/>
          <w:numId w:val="9"/>
        </w:numPr>
        <w:jc w:val="both"/>
      </w:pPr>
      <w:r w:rsidRPr="00F23FFD">
        <w:t>Rozporządzenie Ministra Rolnictwa i Rozwoju Wsi z dnia 20 lipca 2004  w sprawie wymiarów ochronnych i okresó</w:t>
      </w:r>
      <w:r>
        <w:t>w</w:t>
      </w:r>
      <w:r w:rsidRPr="00F23FFD">
        <w:t xml:space="preserve"> ochronnych organizmów morskich oraz szczegółowych warunków wykonywania rybołówstwa morskiego,  (Dz.U. Nr 172 , poz. 1806).</w:t>
      </w:r>
    </w:p>
    <w:p w:rsidR="002A2369" w:rsidRPr="00F23FFD" w:rsidRDefault="002A2369" w:rsidP="00E02FE5">
      <w:pPr>
        <w:numPr>
          <w:ilvl w:val="0"/>
          <w:numId w:val="9"/>
        </w:numPr>
        <w:jc w:val="both"/>
      </w:pPr>
      <w:r>
        <w:t>Rozporządzenie Ministra Rolnictwa i Rozwoju Wsi z dnia 3 listopada 2006 w sprawie jak wyżej (Dz.U Nr 202 , poz. 1489)</w:t>
      </w:r>
    </w:p>
    <w:p w:rsidR="002A2369" w:rsidRPr="00F23FFD" w:rsidRDefault="002A2369" w:rsidP="00E02FE5">
      <w:pPr>
        <w:numPr>
          <w:ilvl w:val="0"/>
          <w:numId w:val="9"/>
        </w:numPr>
        <w:jc w:val="both"/>
      </w:pPr>
      <w:r w:rsidRPr="00F23FFD">
        <w:t>Rozporządzenie Ministra Rolnictwa i Rozwoju Wsi  z dnia 4 marca 2008 r. w sprawi</w:t>
      </w:r>
      <w:r>
        <w:t>e jak wyżej</w:t>
      </w:r>
      <w:r w:rsidRPr="00F23FFD">
        <w:t>,</w:t>
      </w:r>
      <w:r>
        <w:t xml:space="preserve"> </w:t>
      </w:r>
      <w:r w:rsidRPr="00F23FFD">
        <w:t>(Dz.U. Nr 43 ,poz,260  zm. Dz.U.z 2008 Nr. 66,poz. 407, Nr 88 poz. 538,Nr 103,poz. 663 i Nr 1498 oraz z 2009 r, Nr 65 ,poz. 549)</w:t>
      </w:r>
    </w:p>
    <w:p w:rsidR="002A2369" w:rsidRPr="00F23FFD" w:rsidRDefault="002A2369" w:rsidP="00E02FE5">
      <w:pPr>
        <w:numPr>
          <w:ilvl w:val="0"/>
          <w:numId w:val="9"/>
        </w:numPr>
        <w:jc w:val="both"/>
      </w:pPr>
      <w:r w:rsidRPr="00F23FFD">
        <w:t>Rozporządzenie Ministra Rolnictwa i Rozwoju Wsi z dnia 27 kwietnia 2010 r zmieniające rozporządzenie w sprawie wymiarów ochronnych i okresów ochronnych organizmów morskich  oraz szczegółowych warunków wykonywania rybołówstwa morskiego (Dz.U. z 2010 Nr. 71 poz. 460)</w:t>
      </w:r>
    </w:p>
    <w:p w:rsidR="002A2369" w:rsidRPr="00F23FFD" w:rsidRDefault="002A2369" w:rsidP="00E02FE5">
      <w:pPr>
        <w:numPr>
          <w:ilvl w:val="0"/>
          <w:numId w:val="9"/>
        </w:numPr>
        <w:jc w:val="both"/>
      </w:pPr>
      <w:r w:rsidRPr="00F23FFD">
        <w:t>Zarządzenia Okręgowych Inspektoratów Rybołówstwa Morskiego. Zgodnie z art. 32 Ustawy o rybołówstwie cyt. ”właściwy okręgowy inspektor rybołówstwa morskiego , po zasięgnięciu opinii jednostki badawczo- rozwojowej lub szkoły wyższej wskazanej przez ministra właściwego do spraw rybołówstwa , organizacji społeczno- zawodowych rybaków oraz właściwego miejscowo wojewody, określi w drodze zarządzenia;</w:t>
      </w:r>
    </w:p>
    <w:p w:rsidR="002A2369" w:rsidRPr="00F23FFD" w:rsidRDefault="002A2369" w:rsidP="00E02FE5">
      <w:pPr>
        <w:numPr>
          <w:ilvl w:val="1"/>
          <w:numId w:val="9"/>
        </w:numPr>
        <w:jc w:val="both"/>
      </w:pPr>
      <w:r w:rsidRPr="00F23FFD">
        <w:t>stałe obwody ochronne lub obwody ochronne na czas określony oraz szczegółowe warunki prowadzenia w nich połowów,</w:t>
      </w:r>
    </w:p>
    <w:p w:rsidR="002A2369" w:rsidRPr="00F23FFD" w:rsidRDefault="002A2369" w:rsidP="00E02FE5">
      <w:pPr>
        <w:numPr>
          <w:ilvl w:val="1"/>
          <w:numId w:val="9"/>
        </w:numPr>
        <w:jc w:val="both"/>
      </w:pPr>
      <w:r w:rsidRPr="00F23FFD">
        <w:t>wymiary i okresy ochronne organizmów morskich na morskich wodach wewnętrznych,</w:t>
      </w:r>
    </w:p>
    <w:p w:rsidR="002A2369" w:rsidRPr="00F23FFD" w:rsidRDefault="002A2369" w:rsidP="00E02FE5">
      <w:pPr>
        <w:numPr>
          <w:ilvl w:val="1"/>
          <w:numId w:val="9"/>
        </w:numPr>
        <w:jc w:val="both"/>
      </w:pPr>
      <w:r w:rsidRPr="00F23FFD">
        <w:t>szczegółowy sposób wykonywania rybołówstwa na morskich wodach wewnętrznych, w tym;</w:t>
      </w:r>
    </w:p>
    <w:p w:rsidR="002A2369" w:rsidRPr="00F23FFD" w:rsidRDefault="002A2369" w:rsidP="00E02FE5">
      <w:pPr>
        <w:numPr>
          <w:ilvl w:val="2"/>
          <w:numId w:val="9"/>
        </w:numPr>
        <w:jc w:val="both"/>
      </w:pPr>
      <w:r w:rsidRPr="00F23FFD">
        <w:t>rodzaj i ilość narzędzi połowowych oraz ich konstrukcję,</w:t>
      </w:r>
    </w:p>
    <w:p w:rsidR="002A2369" w:rsidRPr="00F23FFD" w:rsidRDefault="002A2369" w:rsidP="00E02FE5">
      <w:pPr>
        <w:numPr>
          <w:ilvl w:val="2"/>
          <w:numId w:val="9"/>
        </w:numPr>
        <w:jc w:val="both"/>
      </w:pPr>
      <w:r w:rsidRPr="00F23FFD">
        <w:t>porządek przy połowach oraz oznakowanie narzędzi połowowych,</w:t>
      </w:r>
    </w:p>
    <w:p w:rsidR="002A2369" w:rsidRPr="00F23FFD" w:rsidRDefault="002A2369" w:rsidP="00E02FE5">
      <w:pPr>
        <w:numPr>
          <w:ilvl w:val="2"/>
          <w:numId w:val="9"/>
        </w:numPr>
        <w:jc w:val="both"/>
      </w:pPr>
      <w:r w:rsidRPr="00F23FFD">
        <w:t xml:space="preserve">c)sposób zajmowania miejsc przez rybaków </w:t>
      </w:r>
    </w:p>
    <w:p w:rsidR="002A2369" w:rsidRPr="00F23FFD" w:rsidRDefault="002A2369" w:rsidP="00E02FE5">
      <w:pPr>
        <w:ind w:left="360"/>
        <w:jc w:val="both"/>
      </w:pPr>
      <w:r w:rsidRPr="00F23FFD">
        <w:t xml:space="preserve">  - mając na względzie ochronę i racjonalne wykorzystanie żywy</w:t>
      </w:r>
      <w:r>
        <w:t>ch zasobów morza” koniec cytatu</w:t>
      </w:r>
      <w:r w:rsidRPr="00F23FFD">
        <w:t>. W kontekście tej ustawowej delegacji Okręgowy Inspektorat Rybołówstwa w Szczecinie opublikował następujące Zarządzenia;</w:t>
      </w:r>
    </w:p>
    <w:p w:rsidR="002A2369" w:rsidRPr="00F23FFD" w:rsidRDefault="002A2369" w:rsidP="00E02FE5">
      <w:pPr>
        <w:pStyle w:val="ListParagraph"/>
        <w:numPr>
          <w:ilvl w:val="3"/>
          <w:numId w:val="9"/>
        </w:numPr>
        <w:tabs>
          <w:tab w:val="clear" w:pos="2880"/>
          <w:tab w:val="num" w:pos="1440"/>
        </w:tabs>
        <w:ind w:left="1440"/>
        <w:jc w:val="both"/>
      </w:pPr>
      <w:r w:rsidRPr="00F23FFD">
        <w:t>- Zarządzenie Nr 2 Okręgowego Inspektoratu Rybołówstwa Morskiego (dalej OIRM) w Szczecinie z dnia 15 kwietnia 2004 r w sprawie określenia wymiarów ochronnych i okresów ochronnych organizmów morskich (Dz.</w:t>
      </w:r>
      <w:r>
        <w:t xml:space="preserve"> </w:t>
      </w:r>
      <w:r w:rsidRPr="00F23FFD">
        <w:t>Urz. Woj. Zachodniopomorskiego Nr 27, poz.505) ,</w:t>
      </w:r>
    </w:p>
    <w:p w:rsidR="002A2369" w:rsidRPr="00F23FFD" w:rsidRDefault="002A2369" w:rsidP="00E02FE5">
      <w:pPr>
        <w:pStyle w:val="ListParagraph"/>
        <w:numPr>
          <w:ilvl w:val="3"/>
          <w:numId w:val="9"/>
        </w:numPr>
        <w:tabs>
          <w:tab w:val="clear" w:pos="2880"/>
          <w:tab w:val="num" w:pos="1440"/>
        </w:tabs>
        <w:ind w:left="1440"/>
        <w:jc w:val="both"/>
      </w:pPr>
      <w:r w:rsidRPr="00F23FFD">
        <w:t>- Zarządzenie Nr 3 OIRM w Szczecinie z dnia 20 pa</w:t>
      </w:r>
      <w:r w:rsidRPr="00F23FFD">
        <w:rPr>
          <w:rFonts w:cs="Calibri"/>
        </w:rPr>
        <w:t>ź</w:t>
      </w:r>
      <w:r w:rsidRPr="00F23FFD">
        <w:t>dziernika 2004 r w sprawie obwodów ochronnych oraz szczegółowych warunków prowadzenia w nich połowów(Dz.</w:t>
      </w:r>
      <w:r>
        <w:t xml:space="preserve"> </w:t>
      </w:r>
      <w:r w:rsidRPr="00F23FFD">
        <w:t>Urz. Woj. Zachodniopomorskiego Nr. 82 , poz. 1436 , zm. Z 2005 r. Nr.94, poz. 1920, z 2007 r. Nr 119 ,poz.2161),</w:t>
      </w:r>
    </w:p>
    <w:p w:rsidR="002A2369" w:rsidRPr="00F23FFD" w:rsidRDefault="002A2369" w:rsidP="00E02FE5">
      <w:pPr>
        <w:pStyle w:val="ListParagraph"/>
        <w:numPr>
          <w:ilvl w:val="3"/>
          <w:numId w:val="9"/>
        </w:numPr>
        <w:tabs>
          <w:tab w:val="clear" w:pos="2880"/>
          <w:tab w:val="num" w:pos="1440"/>
        </w:tabs>
        <w:ind w:left="1440"/>
        <w:jc w:val="both"/>
      </w:pPr>
      <w:r w:rsidRPr="00F23FFD">
        <w:t>- Zarządzenie Nr 4  OIRM w Szczecinie w sprawie szczegółowego sposobu wykonywania rybołówstwa morskiego na morskich wodach wewnętrznych.(Dz. Urz. Woj. Zachodniopomorskiego Nr 82 ,poz. 1437).</w:t>
      </w:r>
    </w:p>
    <w:p w:rsidR="002A2369" w:rsidRPr="00F23FFD" w:rsidRDefault="002A2369" w:rsidP="00E02FE5">
      <w:pPr>
        <w:pStyle w:val="ListParagraph"/>
        <w:jc w:val="both"/>
      </w:pPr>
      <w:r w:rsidRPr="00F23FFD">
        <w:t>Komentarz.                                                                                                                                                                                         W/w Ustawa tworzona była w okresie przedakcesyjnym Polski do Unii Europejskiej i z założenia miała dostosować polskie prawo o rybołówstwie morskim do unijnego sytemu prawnego. Na mocy tej ustawy wszystkie polskie, morskie statki rybackie , w tym także łodzie zalewowe zostały wpisane do rejestru statków rybackich prowadzonego przez MR</w:t>
      </w:r>
      <w:r>
        <w:t xml:space="preserve"> </w:t>
      </w:r>
      <w:r w:rsidRPr="00F23FFD">
        <w:t>i</w:t>
      </w:r>
      <w:r>
        <w:t xml:space="preserve"> </w:t>
      </w:r>
      <w:r w:rsidRPr="00F23FFD">
        <w:t>RW.  Wydawanie licencji połowowych  jak również „specjalnych zezwoleń połowowych”</w:t>
      </w:r>
    </w:p>
    <w:p w:rsidR="002A2369" w:rsidRDefault="002A2369" w:rsidP="00E02FE5">
      <w:pPr>
        <w:pStyle w:val="ListParagraph"/>
        <w:jc w:val="both"/>
      </w:pPr>
      <w:r w:rsidRPr="00F23FFD">
        <w:t>dla statków prowadzących  połowy na wodach terytorialnych RP (12 NM) i na morzu pełnym  określające  gatunki ryb będących przedmiotem połowów , przydzielone kwoty połowowe, rejon połowów , rodzaj i ilość dozwolonych narzędzi połowowych w myśl tej ustawy jest kompetencją Ministra R i RW. Armatorom jednostek poławiających na morskich wodach wewnętrznych (Zalew Szczeciński z wodami przyległymi), „specjalne zezwolenia połowowe” wydaje OIRM w Szczecinie.</w:t>
      </w:r>
    </w:p>
    <w:p w:rsidR="002A2369" w:rsidRPr="00F23FFD" w:rsidRDefault="002A2369" w:rsidP="00E02FE5">
      <w:pPr>
        <w:pStyle w:val="ListParagraph"/>
        <w:jc w:val="both"/>
      </w:pPr>
    </w:p>
    <w:p w:rsidR="002A2369" w:rsidRDefault="002A2369" w:rsidP="00E02FE5">
      <w:pPr>
        <w:pStyle w:val="ListParagraph"/>
        <w:ind w:left="0"/>
        <w:jc w:val="both"/>
      </w:pPr>
      <w:r w:rsidRPr="00F23FFD">
        <w:t>Rozporządzenia Ministra RiRW regulują :</w:t>
      </w:r>
    </w:p>
    <w:p w:rsidR="002A2369" w:rsidRPr="00F23FFD" w:rsidRDefault="002A2369" w:rsidP="00E02FE5">
      <w:pPr>
        <w:pStyle w:val="ListParagraph"/>
        <w:ind w:left="0"/>
        <w:jc w:val="both"/>
      </w:pPr>
    </w:p>
    <w:p w:rsidR="002A2369" w:rsidRPr="00F23FFD" w:rsidRDefault="002A2369" w:rsidP="00E02FE5">
      <w:pPr>
        <w:pStyle w:val="ListParagraph"/>
        <w:numPr>
          <w:ilvl w:val="4"/>
          <w:numId w:val="9"/>
        </w:numPr>
        <w:tabs>
          <w:tab w:val="clear" w:pos="3600"/>
          <w:tab w:val="num" w:pos="720"/>
        </w:tabs>
        <w:ind w:left="720"/>
        <w:jc w:val="both"/>
      </w:pPr>
      <w:r w:rsidRPr="00F23FFD">
        <w:t>Wymiary i okresy ochronne takich gatunków ryb jak; certa, leszcz, okoń, płoć, sandacz, sieja, szczupak , pstrąg tęczowy , węgorz tj</w:t>
      </w:r>
      <w:r>
        <w:t>.</w:t>
      </w:r>
      <w:r w:rsidRPr="00F23FFD">
        <w:t xml:space="preserve"> gatunków które nie są objęte Wspólna Polityką Rybacką Unii</w:t>
      </w:r>
      <w:r>
        <w:t xml:space="preserve"> Europejskiej (gatunki objęte W </w:t>
      </w:r>
      <w:r w:rsidRPr="00F23FFD">
        <w:t>P</w:t>
      </w:r>
      <w:r>
        <w:t xml:space="preserve"> </w:t>
      </w:r>
      <w:r w:rsidRPr="00F23FFD">
        <w:t>Ryb</w:t>
      </w:r>
      <w:r>
        <w:t>.</w:t>
      </w:r>
      <w:r w:rsidRPr="00F23FFD">
        <w:t xml:space="preserve"> to ; dorsz ,śled</w:t>
      </w:r>
      <w:r w:rsidRPr="00F23FFD">
        <w:rPr>
          <w:rFonts w:cs="Calibri"/>
        </w:rPr>
        <w:t>ź</w:t>
      </w:r>
      <w:r w:rsidRPr="00F23FFD">
        <w:t>, szprot, łosoś, troć wędrowna, stornia, turbot, nagład. Rozmiary ochronne tych gatunków reguluje Załącznik IV do Rozporządzenia Rady Europy (WE) Nr. 2187/2005 z dnia 21.XII. 2005 w sprawie zachowania zasobów połowowych wód M. Bałtyckiego ,Cieśnin Bełt i Sund poprzez zastosowanie środków technicznych …itd. opublikowane w DZ.U. UE Seria L Nr. 349 z 312 .12. 2005).</w:t>
      </w:r>
    </w:p>
    <w:p w:rsidR="002A2369" w:rsidRPr="00F23FFD" w:rsidRDefault="002A2369" w:rsidP="00E02FE5">
      <w:pPr>
        <w:pStyle w:val="ListParagraph"/>
        <w:numPr>
          <w:ilvl w:val="4"/>
          <w:numId w:val="9"/>
        </w:numPr>
        <w:tabs>
          <w:tab w:val="clear" w:pos="3600"/>
          <w:tab w:val="num" w:pos="720"/>
        </w:tabs>
        <w:ind w:left="720"/>
        <w:jc w:val="both"/>
      </w:pPr>
      <w:r w:rsidRPr="00F23FFD">
        <w:t>Szczegółowe warunki wykonywania rybołówstwa morskiego w tym;</w:t>
      </w:r>
    </w:p>
    <w:p w:rsidR="002A2369" w:rsidRPr="00F23FFD" w:rsidRDefault="002A2369" w:rsidP="00E02FE5">
      <w:pPr>
        <w:pStyle w:val="ListParagraph"/>
        <w:numPr>
          <w:ilvl w:val="5"/>
          <w:numId w:val="9"/>
        </w:numPr>
        <w:tabs>
          <w:tab w:val="clear" w:pos="4320"/>
        </w:tabs>
        <w:ind w:left="1260"/>
        <w:jc w:val="both"/>
      </w:pPr>
      <w:r w:rsidRPr="00F23FFD">
        <w:t>rodzaj i liczbę narzędzi połowowych oraz ich konstrukcje (minimalna długość boku oczka ,dopuszczalna długość sieci stawnych  i zestawów sieci stawnych itp.)</w:t>
      </w:r>
    </w:p>
    <w:p w:rsidR="002A2369" w:rsidRPr="00F23FFD" w:rsidRDefault="002A2369" w:rsidP="00E02FE5">
      <w:pPr>
        <w:pStyle w:val="ListParagraph"/>
        <w:numPr>
          <w:ilvl w:val="5"/>
          <w:numId w:val="9"/>
        </w:numPr>
        <w:tabs>
          <w:tab w:val="clear" w:pos="4320"/>
        </w:tabs>
        <w:ind w:left="1260"/>
        <w:jc w:val="both"/>
      </w:pPr>
      <w:r w:rsidRPr="00F23FFD">
        <w:t xml:space="preserve">sposób prowadzenia połowów (konieczność zmiany łowiska w przypadku połowu ryb niewymiarowych lub objętych ochroną gatunkową </w:t>
      </w:r>
      <w:r>
        <w:t>niebędących przedmiotem połowów), odległości frontalne i boczne pomiędzy zestawami sieci stawnych, min. odległość trałowania od sieci stawnych (</w:t>
      </w:r>
      <w:smartTag w:uri="urn:schemas-microsoft-com:office:smarttags" w:element="metricconverter">
        <w:smartTagPr>
          <w:attr w:name="ProductID" w:val="150 m"/>
        </w:smartTagPr>
        <w:r>
          <w:t>150 m</w:t>
        </w:r>
      </w:smartTag>
      <w:r>
        <w:t>), minimalna odległość trałowania od statku znajdującego się na tym samym kursie (1000m), itp.</w:t>
      </w:r>
    </w:p>
    <w:p w:rsidR="002A2369" w:rsidRPr="00F23FFD" w:rsidRDefault="002A2369" w:rsidP="00E02FE5">
      <w:pPr>
        <w:pStyle w:val="ListParagraph"/>
        <w:numPr>
          <w:ilvl w:val="5"/>
          <w:numId w:val="9"/>
        </w:numPr>
        <w:tabs>
          <w:tab w:val="clear" w:pos="4320"/>
        </w:tabs>
        <w:ind w:left="1260"/>
        <w:jc w:val="both"/>
      </w:pPr>
      <w:r w:rsidRPr="00F23FFD">
        <w:t>okresy ochronne dla poszczególnych gatunków ryb,</w:t>
      </w:r>
    </w:p>
    <w:p w:rsidR="002A2369" w:rsidRPr="00F23FFD" w:rsidRDefault="002A2369" w:rsidP="00E02FE5">
      <w:pPr>
        <w:pStyle w:val="ListParagraph"/>
        <w:numPr>
          <w:ilvl w:val="5"/>
          <w:numId w:val="9"/>
        </w:numPr>
        <w:tabs>
          <w:tab w:val="clear" w:pos="4320"/>
        </w:tabs>
        <w:ind w:left="1260"/>
        <w:jc w:val="both"/>
      </w:pPr>
      <w:r w:rsidRPr="00F23FFD">
        <w:t>wielkość dopuszczalnego przyłowu,</w:t>
      </w:r>
    </w:p>
    <w:p w:rsidR="002A2369" w:rsidRPr="00F23FFD" w:rsidRDefault="002A2369" w:rsidP="00E02FE5">
      <w:pPr>
        <w:pStyle w:val="ListParagraph"/>
        <w:numPr>
          <w:ilvl w:val="5"/>
          <w:numId w:val="9"/>
        </w:numPr>
        <w:tabs>
          <w:tab w:val="clear" w:pos="4320"/>
        </w:tabs>
        <w:ind w:left="1260"/>
        <w:jc w:val="both"/>
      </w:pPr>
      <w:r w:rsidRPr="00F23FFD">
        <w:t xml:space="preserve">sposób oznakowania narzędzi połowów używanych wyłącznie do połowów w strefie </w:t>
      </w:r>
      <w:smartTag w:uri="urn:schemas-microsoft-com:office:smarttags" w:element="metricconverter">
        <w:smartTagPr>
          <w:attr w:name="ProductID" w:val="3 Mm"/>
        </w:smartTagPr>
        <w:r w:rsidRPr="00F23FFD">
          <w:t>3 Mm</w:t>
        </w:r>
      </w:smartTag>
      <w:r w:rsidRPr="00F23FFD">
        <w:t xml:space="preserve"> od linii brzegu. </w:t>
      </w:r>
    </w:p>
    <w:p w:rsidR="002A2369" w:rsidRDefault="002A2369" w:rsidP="00E02FE5">
      <w:pPr>
        <w:pStyle w:val="ListParagraph"/>
        <w:ind w:left="0"/>
        <w:jc w:val="both"/>
      </w:pPr>
    </w:p>
    <w:p w:rsidR="002A2369" w:rsidRPr="00F23FFD" w:rsidRDefault="002A2369" w:rsidP="00E02FE5">
      <w:pPr>
        <w:pStyle w:val="ListParagraph"/>
        <w:ind w:left="0"/>
        <w:jc w:val="both"/>
      </w:pPr>
      <w:r w:rsidRPr="00F23FFD">
        <w:t>Organem administracji rybołówstwa morskiego zgodnie z art. 50 Ustawy o rybołówstwie są;</w:t>
      </w:r>
    </w:p>
    <w:p w:rsidR="002A2369" w:rsidRPr="00F23FFD" w:rsidRDefault="002A2369" w:rsidP="00E02FE5">
      <w:pPr>
        <w:pStyle w:val="ListParagraph"/>
        <w:ind w:left="0"/>
        <w:jc w:val="both"/>
      </w:pPr>
      <w:r w:rsidRPr="00F23FFD">
        <w:t>Minister właściwy do spraw rybołówstwa (aktualnie Minister R</w:t>
      </w:r>
      <w:r>
        <w:t xml:space="preserve"> </w:t>
      </w:r>
      <w:r w:rsidRPr="00F23FFD">
        <w:t>i</w:t>
      </w:r>
      <w:r>
        <w:t xml:space="preserve"> </w:t>
      </w:r>
      <w:r w:rsidRPr="00F23FFD">
        <w:t>RW)</w:t>
      </w:r>
    </w:p>
    <w:p w:rsidR="002A2369" w:rsidRDefault="002A2369" w:rsidP="004D30AD">
      <w:pPr>
        <w:pStyle w:val="ListParagraph"/>
        <w:ind w:left="0"/>
        <w:jc w:val="both"/>
      </w:pPr>
      <w:r w:rsidRPr="00F23FFD">
        <w:t xml:space="preserve">Okręgowi inspektorzy rybołówstwa  morskiego – jako organy administracji niezespolonej, których głównym zadaniem jest nadzór nad przestrzeganiem przepisów o rybołówstwie(art.56).W myśl art. 55 „w zakresie nieunormowanym w przepisach ustawy, jeżeli jest to niezbędne dla ochrony żywych zasobów morza i </w:t>
      </w:r>
      <w:r w:rsidRPr="00F23FFD">
        <w:rPr>
          <w:b/>
        </w:rPr>
        <w:t>zachowania porządku przy połowach</w:t>
      </w:r>
      <w:r w:rsidRPr="00F23FFD">
        <w:t xml:space="preserve">, okręgowi inspektorzy rybołówstwa morskiego </w:t>
      </w:r>
      <w:r w:rsidRPr="00F23FFD">
        <w:rPr>
          <w:b/>
        </w:rPr>
        <w:t>mogą wydawać zarządzenia porządkowe , zawierające zakazy lub nakazy określonego</w:t>
      </w:r>
      <w:r w:rsidRPr="00F23FFD">
        <w:t xml:space="preserve"> </w:t>
      </w:r>
      <w:r w:rsidRPr="00F23FFD">
        <w:rPr>
          <w:b/>
        </w:rPr>
        <w:t>zachowania</w:t>
      </w:r>
      <w:r w:rsidRPr="00F23FFD">
        <w:t>”.</w:t>
      </w:r>
      <w:r>
        <w:t xml:space="preserve">Ponadto  realizacja rybołówstwa na wodach Zalewu Szczecińskiego i Zatoki Pomorskiej  ograniczana jest Zarządzeniami Dyrektora Urzędu Morskiego, Komunikatami Wydziału Oznakowania Nawigacyjnego UMS oraz ostrzeżeniami nawigacyjnymi (między innymi ustanowiona jest strefa zakazu połowów w odległości mniejszej niż </w:t>
      </w:r>
      <w:smartTag w:uri="urn:schemas-microsoft-com:office:smarttags" w:element="metricconverter">
        <w:smartTagPr>
          <w:attr w:name="ProductID" w:val="200 m"/>
        </w:smartTagPr>
        <w:r>
          <w:t>200 m</w:t>
        </w:r>
      </w:smartTag>
      <w:r>
        <w:t xml:space="preserve"> od linii torów wodnych oraz w obszarze na wschód do istniejącego falochronu wschodniego w Świnoujściu w strefie o szerokości 500m). Konsekwencją przytoczonych powyżej przepisów dotyczących zasad wykonywania rybołówstwa na akwenie Zatoki Pomorskiej są następujące ograniczenia:</w:t>
      </w:r>
    </w:p>
    <w:p w:rsidR="002A2369" w:rsidRDefault="002A2369" w:rsidP="00E02FE5">
      <w:pPr>
        <w:pStyle w:val="ListParagraph"/>
        <w:numPr>
          <w:ilvl w:val="0"/>
          <w:numId w:val="5"/>
        </w:numPr>
        <w:jc w:val="both"/>
      </w:pPr>
      <w:r>
        <w:t xml:space="preserve">Przy ujściu Świny do morza w promieniu </w:t>
      </w:r>
      <w:smartTag w:uri="urn:schemas-microsoft-com:office:smarttags" w:element="metricconverter">
        <w:smartTagPr>
          <w:attr w:name="ProductID" w:val="5 Mm"/>
        </w:smartTagPr>
        <w:r>
          <w:t>500 m</w:t>
        </w:r>
      </w:smartTag>
      <w:r>
        <w:t xml:space="preserve"> od główki falochronu wschodniego (istniejącego) ustanowiony jest stały obwód rybacki gdzie obowiązywał i obowiązuje zakaz połowów.</w:t>
      </w:r>
    </w:p>
    <w:p w:rsidR="002A2369" w:rsidRDefault="002A2369" w:rsidP="00E02FE5">
      <w:pPr>
        <w:pStyle w:val="ListParagraph"/>
        <w:numPr>
          <w:ilvl w:val="0"/>
          <w:numId w:val="5"/>
        </w:numPr>
        <w:jc w:val="both"/>
      </w:pPr>
      <w:r>
        <w:t>Obszar na wschód od istniejącego falochronu wschodniego o szerokości 500m był zamknięty dla rybołówstwa przed rozpoczęciem budowy portu zewnętrznego.</w:t>
      </w:r>
    </w:p>
    <w:p w:rsidR="002A2369" w:rsidRDefault="002A2369" w:rsidP="00E02FE5">
      <w:pPr>
        <w:pStyle w:val="ListParagraph"/>
        <w:numPr>
          <w:ilvl w:val="0"/>
          <w:numId w:val="5"/>
        </w:numPr>
        <w:jc w:val="both"/>
      </w:pPr>
      <w:r>
        <w:t>Obszar klapowisk dla odkładania urobku dla inwestorów portu zewnętrznego LNG tj Urzędu Morskiego w Szczecinie i Zarządu Portów Morskich Szczecina i Świnoujścia.</w:t>
      </w:r>
    </w:p>
    <w:p w:rsidR="002A2369" w:rsidRPr="00414ED6" w:rsidRDefault="002A2369" w:rsidP="00E02FE5">
      <w:pPr>
        <w:pStyle w:val="ListParagraph"/>
        <w:numPr>
          <w:ilvl w:val="0"/>
          <w:numId w:val="5"/>
        </w:numPr>
        <w:jc w:val="both"/>
        <w:rPr>
          <w:sz w:val="18"/>
          <w:szCs w:val="18"/>
        </w:rPr>
      </w:pPr>
      <w:r>
        <w:t>Akwen zamknięty dla żeglugi i rybołówstwa w związku z rozpoczęciem prac budowlanych terminala LNG- o powierzchni określonej w „Ostrzeżeniu nawigacyjnym” UMS z dnia 2010-12-07.</w:t>
      </w:r>
    </w:p>
    <w:p w:rsidR="002A2369" w:rsidRPr="00414ED6" w:rsidRDefault="002A2369" w:rsidP="00E02FE5">
      <w:pPr>
        <w:pStyle w:val="ListParagraph"/>
        <w:numPr>
          <w:ilvl w:val="0"/>
          <w:numId w:val="5"/>
        </w:numPr>
        <w:jc w:val="both"/>
        <w:rPr>
          <w:sz w:val="18"/>
          <w:szCs w:val="18"/>
        </w:rPr>
      </w:pPr>
      <w:r>
        <w:t>Akwen zamknięty dla żeglugi, rybołówstwa , turystyki i sportów wodnych granice którego określono w „Ostrzeżeniu nawigacyjnym”UMS z dnia 2011-12-05.</w:t>
      </w:r>
    </w:p>
    <w:p w:rsidR="002A2369" w:rsidRDefault="002A2369" w:rsidP="00E02FE5">
      <w:pPr>
        <w:jc w:val="both"/>
      </w:pPr>
      <w:r w:rsidRPr="00414ED6">
        <w:t xml:space="preserve">Zgodnie z art. 16 Ustawy o rybołówstwie , armatorzy rybaccy zobowiązani </w:t>
      </w:r>
      <w:r>
        <w:t>są do złożenia za pośrednictwem OIRM do Ministra R IRW wniosków o wydanie „Specjalnego pozwolenia połowowego” uprawniającego do połowów na polskich , morskich wodach zewnętrznych. Wniosek ten powinien zawierać między innymi;</w:t>
      </w:r>
    </w:p>
    <w:p w:rsidR="002A2369" w:rsidRDefault="002A2369" w:rsidP="00E02FE5">
      <w:pPr>
        <w:ind w:left="1080"/>
        <w:jc w:val="both"/>
      </w:pPr>
      <w:r>
        <w:t>- gatunki ryb które maja być przedmiotem połowów danego armatora,</w:t>
      </w:r>
    </w:p>
    <w:p w:rsidR="002A2369" w:rsidRDefault="002A2369" w:rsidP="00E02FE5">
      <w:pPr>
        <w:ind w:left="1080"/>
        <w:jc w:val="both"/>
      </w:pPr>
      <w:r>
        <w:t>- rejon prowadzenia połowów  - w praktyce rybacy wpisują rejon ICES 22-24, obejmujący między innymi wody Zatoki Pomorskiej,</w:t>
      </w:r>
    </w:p>
    <w:p w:rsidR="002A2369" w:rsidRDefault="002A2369" w:rsidP="00E02FE5">
      <w:pPr>
        <w:ind w:left="1080"/>
        <w:jc w:val="both"/>
      </w:pPr>
      <w:r>
        <w:t>- rodzaj narzędzi połowów .</w:t>
      </w:r>
    </w:p>
    <w:p w:rsidR="002A2369" w:rsidRDefault="002A2369" w:rsidP="00E02FE5">
      <w:pPr>
        <w:jc w:val="both"/>
      </w:pPr>
      <w:r>
        <w:t>Ograniczenia ustawowe dotyczą w zasadzie określonych typów narzędzi połowowych np. jednostki poławiające włokiem mogą łowić na wodach Zatoki Pomorskiej w minimalnej odległości 3Mm od linii brzegowej z wyłączeniem toru wodnego i 200 m strefy buforowej oraz obszarem wyłączonym z rybołówstwa Rozporządzeniem (WE) Nr 88/98 Art. 8 ust.3  obejmującym akwen Ławicy Odrzanej.W przypadku sieci stawnych mogą one formalnie być wystawiane nawet do granicy EEZ , z wyłączeniem czasowym niektórych obszarów podanych w stosownym Rozporządzeniu MRiRW. Istotnym ograniczeniem jednakże jest :</w:t>
      </w:r>
    </w:p>
    <w:p w:rsidR="002A2369" w:rsidRDefault="002A2369" w:rsidP="00E02FE5">
      <w:pPr>
        <w:ind w:left="1080"/>
        <w:jc w:val="both"/>
      </w:pPr>
      <w:r>
        <w:t xml:space="preserve"> - zasięg pływania łodzi otwarto pokładowych określony Kartą Bezpieczeństwa wydawaną przez Polski Rejestr Statków lub Urząd Morski.</w:t>
      </w:r>
    </w:p>
    <w:p w:rsidR="002A2369" w:rsidRDefault="002A2369" w:rsidP="00E02FE5">
      <w:pPr>
        <w:ind w:left="1080"/>
        <w:jc w:val="both"/>
      </w:pPr>
      <w:r>
        <w:t>- głębokością akwenu i rejonami koncentracji ryb,</w:t>
      </w:r>
    </w:p>
    <w:p w:rsidR="002A2369" w:rsidRDefault="002A2369" w:rsidP="00E02FE5">
      <w:pPr>
        <w:ind w:left="1080"/>
        <w:jc w:val="both"/>
      </w:pPr>
      <w:r>
        <w:t>- odległością od portu w kontekście konieczności podnoszenia siatek min co 48h.</w:t>
      </w:r>
    </w:p>
    <w:p w:rsidR="002A2369" w:rsidRDefault="002A2369" w:rsidP="00E02FE5">
      <w:pPr>
        <w:jc w:val="both"/>
      </w:pPr>
      <w:r>
        <w:t>Dla jednostek stacjonujących w porcie Świnoujście , Karsibór , Ognica i Międzyzdroje wśród których dominują łodzie o długości w przedziale 9-12 m( 21 jednostek), najważniejszym obszarem połowów jest rejon położony pomiędzy linią brzegowa a granicą 5 Mm ograniczony od zachodu granicą państwową  do wysokości m. Wisełka. Konsekwencją określenia rejonu połowów w „Specjalnych zezwoleniach połowowych” – w obszarze ICES 22-24 - oraz przepisów ogólnych regulujących zasady wykonywania rybołówstwa na morskich wodach zewnętrznych brak jest precyzyjnie przypisanych danemu armatorowi pozycji stawiania manc lub netów – w myśl zasady „dozwolone jest to co nie jest zakazane”. Stąd też można jedynie zakreślić na mapie obszar Zatoki Pomorskiej najczęściej eksploatowany przez ten rodzaj rybołówstwa. Tylko w odniesieniu do stawnych niewodów śledziowych (żaków) inspektorzy rybołówstwa korzystają z zapisu art.55 Ustawy, określając precyzyjnie pozycje wystawiania tych narzędzi przez poszczególnych armatorów . Dzięki temu można było uzyskać informacje o historycznych pozycjach wystawiania niewodów śledziowych i nowych pozycji , obowiązujących w roku 2011 – których przesunięcie na wschód wymuszone zostało utworzeniem strefy zamkniętej dla między innymi rybołówstwa  w związku z rozpoczęciem budowy terminala LNG w Świnoujściu. Zebrane informacje skonsultowane zostały z Kapitanatem Portu w Świnoujściu i miejscowym Oddziałem OIRM. Pozwoliły one na wizualną realizację Etapu I przedmiotowego zadania w postaci mapy Zatoki Pomorskiej w skali 1:130 000 na którą naniesiono wszystkie istotne dla Etapu I informacje wraz z ukazaniem statystycznych kwadratów rybackich (C1,C2, D1,D2, D3) , co będzie miało istotne znaczenie dla opracowania etapów II i III zadania pt. ”Ocena wpływu budowy i funkcjonowania terminala LNG w Świnoujściu na życie biologiczne i efektywność rybacką w przyległych akwenach”.</w:t>
      </w:r>
    </w:p>
    <w:p w:rsidR="002A2369" w:rsidRDefault="002A2369" w:rsidP="00E02FE5">
      <w:pPr>
        <w:ind w:left="1080"/>
        <w:jc w:val="both"/>
      </w:pPr>
      <w:r>
        <w:t xml:space="preserve">                                                                </w:t>
      </w:r>
      <w:bookmarkStart w:id="0" w:name="_GoBack"/>
      <w:bookmarkEnd w:id="0"/>
      <w:r>
        <w:t xml:space="preserve">  Opracował: mgr inż. rybactwa </w:t>
      </w:r>
    </w:p>
    <w:p w:rsidR="002A2369" w:rsidRDefault="002A2369" w:rsidP="00E02FE5">
      <w:pPr>
        <w:ind w:left="1080"/>
        <w:jc w:val="both"/>
      </w:pPr>
      <w:r>
        <w:t xml:space="preserve">                                                                              Tadeusz Krajniak</w:t>
      </w:r>
    </w:p>
    <w:p w:rsidR="002A2369" w:rsidRPr="00EA102B" w:rsidRDefault="002A2369" w:rsidP="00E02FE5">
      <w:pPr>
        <w:jc w:val="both"/>
      </w:pPr>
      <w:r>
        <w:t xml:space="preserve">                                                                              Stacja Badawcza MIR –PIB w Świnoujściu                                                                                                                </w:t>
      </w:r>
    </w:p>
    <w:sectPr w:rsidR="002A2369" w:rsidRPr="00EA102B" w:rsidSect="00BB2B0D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369" w:rsidRDefault="002A2369">
      <w:r>
        <w:separator/>
      </w:r>
    </w:p>
  </w:endnote>
  <w:endnote w:type="continuationSeparator" w:id="0">
    <w:p w:rsidR="002A2369" w:rsidRDefault="002A2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369" w:rsidRDefault="002A2369" w:rsidP="00B37D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369" w:rsidRDefault="002A2369" w:rsidP="008867B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369" w:rsidRDefault="002A2369" w:rsidP="00B37D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2A2369" w:rsidRDefault="002A2369" w:rsidP="008867B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369" w:rsidRDefault="002A2369">
      <w:r>
        <w:separator/>
      </w:r>
    </w:p>
  </w:footnote>
  <w:footnote w:type="continuationSeparator" w:id="0">
    <w:p w:rsidR="002A2369" w:rsidRDefault="002A23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0C43"/>
    <w:multiLevelType w:val="hybridMultilevel"/>
    <w:tmpl w:val="45DA1FF4"/>
    <w:lvl w:ilvl="0" w:tplc="8266F5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184CBE"/>
    <w:multiLevelType w:val="hybridMultilevel"/>
    <w:tmpl w:val="B18E06D2"/>
    <w:lvl w:ilvl="0" w:tplc="CAE4163A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8F82F8A"/>
    <w:multiLevelType w:val="hybridMultilevel"/>
    <w:tmpl w:val="794268F0"/>
    <w:lvl w:ilvl="0" w:tplc="819CC91A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3E6C6A72"/>
    <w:multiLevelType w:val="hybridMultilevel"/>
    <w:tmpl w:val="BDA05084"/>
    <w:lvl w:ilvl="0" w:tplc="99444C84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56A42C4A"/>
    <w:multiLevelType w:val="hybridMultilevel"/>
    <w:tmpl w:val="D11490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9E040F"/>
    <w:multiLevelType w:val="hybridMultilevel"/>
    <w:tmpl w:val="D69A6D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195EE7"/>
    <w:multiLevelType w:val="hybridMultilevel"/>
    <w:tmpl w:val="66B49A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E5500C9"/>
    <w:multiLevelType w:val="multilevel"/>
    <w:tmpl w:val="335C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0A704F"/>
    <w:multiLevelType w:val="hybridMultilevel"/>
    <w:tmpl w:val="50E01BA4"/>
    <w:lvl w:ilvl="0" w:tplc="E0BC416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765E347C"/>
    <w:multiLevelType w:val="hybridMultilevel"/>
    <w:tmpl w:val="8ABE13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ABE3F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AD67E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6F126AD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1C14BA">
      <w:start w:val="1"/>
      <w:numFmt w:val="lowerLetter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E95"/>
    <w:rsid w:val="001A74A0"/>
    <w:rsid w:val="00297E91"/>
    <w:rsid w:val="002A2369"/>
    <w:rsid w:val="003F3CFA"/>
    <w:rsid w:val="00414ED6"/>
    <w:rsid w:val="00475EBE"/>
    <w:rsid w:val="004A455F"/>
    <w:rsid w:val="004B5FA0"/>
    <w:rsid w:val="004D30AD"/>
    <w:rsid w:val="004E6491"/>
    <w:rsid w:val="00524456"/>
    <w:rsid w:val="0053726B"/>
    <w:rsid w:val="0053754B"/>
    <w:rsid w:val="005B3263"/>
    <w:rsid w:val="00652E90"/>
    <w:rsid w:val="006934A8"/>
    <w:rsid w:val="007875F0"/>
    <w:rsid w:val="007E0A86"/>
    <w:rsid w:val="00814091"/>
    <w:rsid w:val="008867B0"/>
    <w:rsid w:val="008A7E95"/>
    <w:rsid w:val="009C4362"/>
    <w:rsid w:val="00AA08BC"/>
    <w:rsid w:val="00AB63F1"/>
    <w:rsid w:val="00AE730B"/>
    <w:rsid w:val="00B37D53"/>
    <w:rsid w:val="00B871E3"/>
    <w:rsid w:val="00BB2B0D"/>
    <w:rsid w:val="00C314F9"/>
    <w:rsid w:val="00C62499"/>
    <w:rsid w:val="00CA6B7E"/>
    <w:rsid w:val="00CD68ED"/>
    <w:rsid w:val="00D43305"/>
    <w:rsid w:val="00DC5CEB"/>
    <w:rsid w:val="00E02FE5"/>
    <w:rsid w:val="00E07C52"/>
    <w:rsid w:val="00E563D8"/>
    <w:rsid w:val="00E5643F"/>
    <w:rsid w:val="00EA102B"/>
    <w:rsid w:val="00ED5CBD"/>
    <w:rsid w:val="00EF5329"/>
    <w:rsid w:val="00F05906"/>
    <w:rsid w:val="00F23FFD"/>
    <w:rsid w:val="00F365F5"/>
    <w:rsid w:val="00F82AFD"/>
    <w:rsid w:val="00F9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B0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7E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23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FF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875F0"/>
    <w:rPr>
      <w:lang w:eastAsia="en-US"/>
    </w:rPr>
  </w:style>
  <w:style w:type="paragraph" w:styleId="Footer">
    <w:name w:val="footer"/>
    <w:basedOn w:val="Normal"/>
    <w:link w:val="FooterChar"/>
    <w:uiPriority w:val="99"/>
    <w:rsid w:val="008867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8867B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1622</Words>
  <Characters>9736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Temat: „Ocena wpływu budowy i funkcjonowania terminala LNG w  Świnoujściu na życie biologiczne i efektywność rybacką w przyległych akwenach</dc:title>
  <dc:subject/>
  <dc:creator>TKrajniak</dc:creator>
  <cp:keywords/>
  <dc:description/>
  <cp:lastModifiedBy>Adam</cp:lastModifiedBy>
  <cp:revision>3</cp:revision>
  <cp:lastPrinted>2011-12-19T09:13:00Z</cp:lastPrinted>
  <dcterms:created xsi:type="dcterms:W3CDTF">2011-12-19T09:24:00Z</dcterms:created>
  <dcterms:modified xsi:type="dcterms:W3CDTF">2011-12-19T09:54:00Z</dcterms:modified>
</cp:coreProperties>
</file>